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FF" w:rsidRDefault="001023F6" w:rsidP="000D52FF">
      <w:pPr>
        <w:pStyle w:val="Heading1"/>
      </w:pPr>
      <w:bookmarkStart w:id="0" w:name="_GoBack"/>
      <w:bookmarkEnd w:id="0"/>
      <w:r w:rsidRPr="000D52FF">
        <w:t>Explaining the “Key Topic”</w:t>
      </w:r>
    </w:p>
    <w:p w:rsidR="000D52FF" w:rsidRDefault="000D52FF" w:rsidP="000D52FF"/>
    <w:p w:rsidR="00E4164D" w:rsidRPr="007E51A1" w:rsidRDefault="00E4164D" w:rsidP="00E4164D">
      <w:pPr>
        <w:pStyle w:val="Heading1"/>
        <w:spacing w:line="360" w:lineRule="auto"/>
        <w:rPr>
          <w:rFonts w:asciiTheme="minorHAnsi" w:hAnsiTheme="minorHAnsi" w:cstheme="minorHAnsi"/>
          <w:b/>
        </w:rPr>
      </w:pPr>
      <w:proofErr w:type="spellStart"/>
      <w:r w:rsidRPr="007E51A1">
        <w:rPr>
          <w:rFonts w:asciiTheme="minorHAnsi" w:hAnsiTheme="minorHAnsi" w:cstheme="minorHAnsi"/>
          <w:b/>
        </w:rPr>
        <w:t>Biesta</w:t>
      </w:r>
      <w:proofErr w:type="spellEnd"/>
      <w:r w:rsidRPr="007E51A1">
        <w:rPr>
          <w:rFonts w:asciiTheme="minorHAnsi" w:hAnsiTheme="minorHAnsi" w:cstheme="minorHAnsi"/>
          <w:b/>
        </w:rPr>
        <w:t>, G., Priestley, M., &amp; Robinson, S. (2015). The role of beliefs in teacher agency. Teachers and Teaching: theory and practice, 21(6), 624–640.</w:t>
      </w:r>
    </w:p>
    <w:p w:rsidR="00E4164D" w:rsidRDefault="00E4164D" w:rsidP="000D52FF"/>
    <w:p w:rsidR="000D52FF" w:rsidRPr="007E51A1" w:rsidRDefault="000D52FF" w:rsidP="000D52FF">
      <w:pPr>
        <w:spacing w:line="360" w:lineRule="auto"/>
        <w:rPr>
          <w:rFonts w:cstheme="minorHAnsi"/>
          <w:sz w:val="24"/>
          <w:szCs w:val="24"/>
        </w:rPr>
      </w:pPr>
      <w:r w:rsidRPr="007E51A1">
        <w:rPr>
          <w:rFonts w:cstheme="minorHAnsi"/>
          <w:sz w:val="24"/>
          <w:szCs w:val="24"/>
        </w:rPr>
        <w:t xml:space="preserve">…notions of agency and the </w:t>
      </w:r>
      <w:proofErr w:type="spellStart"/>
      <w:r w:rsidRPr="007E51A1">
        <w:rPr>
          <w:rFonts w:cstheme="minorHAnsi"/>
          <w:sz w:val="24"/>
          <w:szCs w:val="24"/>
        </w:rPr>
        <w:t>self have</w:t>
      </w:r>
      <w:proofErr w:type="spellEnd"/>
      <w:r w:rsidRPr="007E51A1">
        <w:rPr>
          <w:rFonts w:cstheme="minorHAnsi"/>
          <w:sz w:val="24"/>
          <w:szCs w:val="24"/>
        </w:rPr>
        <w:t xml:space="preserve"> always seemed inherently intertwined, agency has been far more difficult to </w:t>
      </w:r>
      <w:r w:rsidRPr="005376B6">
        <w:rPr>
          <w:rFonts w:cstheme="minorHAnsi"/>
          <w:sz w:val="24"/>
          <w:szCs w:val="24"/>
          <w:highlight w:val="yellow"/>
        </w:rPr>
        <w:t>define</w:t>
      </w:r>
      <w:r w:rsidRPr="007E51A1">
        <w:rPr>
          <w:rFonts w:cstheme="minorHAnsi"/>
          <w:sz w:val="24"/>
          <w:szCs w:val="24"/>
        </w:rPr>
        <w:t>, although it has been viewed, understandably, as one of the many facets of the self. Thus, the idea of agency or our understanding of the nature of humans’ capacity for agency has been, to a large extent, determined by historically influential models that explain the nature of the self. (</w:t>
      </w:r>
      <w:r w:rsidR="00E4164D">
        <w:rPr>
          <w:rFonts w:cstheme="minorHAnsi"/>
          <w:sz w:val="24"/>
          <w:szCs w:val="24"/>
        </w:rPr>
        <w:t xml:space="preserve">Author, </w:t>
      </w:r>
      <w:r w:rsidRPr="007E51A1">
        <w:rPr>
          <w:rFonts w:cstheme="minorHAnsi"/>
          <w:sz w:val="24"/>
          <w:szCs w:val="24"/>
        </w:rPr>
        <w:t>p. 1)</w:t>
      </w:r>
    </w:p>
    <w:p w:rsidR="005376B6" w:rsidRDefault="005376B6" w:rsidP="0099789C">
      <w:pPr>
        <w:autoSpaceDE w:val="0"/>
        <w:autoSpaceDN w:val="0"/>
        <w:adjustRightInd w:val="0"/>
        <w:spacing w:line="360" w:lineRule="auto"/>
        <w:rPr>
          <w:rFonts w:cstheme="minorHAnsi"/>
          <w:color w:val="000000"/>
          <w:sz w:val="24"/>
          <w:szCs w:val="24"/>
          <w:lang w:val="en-CA"/>
        </w:rPr>
      </w:pPr>
      <w:r w:rsidRPr="007E51A1">
        <w:rPr>
          <w:rFonts w:cstheme="minorHAnsi"/>
          <w:color w:val="000000"/>
          <w:sz w:val="24"/>
          <w:szCs w:val="24"/>
          <w:lang w:val="en-CA"/>
        </w:rPr>
        <w:t xml:space="preserve">But </w:t>
      </w:r>
      <w:r w:rsidRPr="007E51A1">
        <w:rPr>
          <w:rFonts w:eastAsia="AdvTTec369687+fb" w:cstheme="minorHAnsi"/>
          <w:color w:val="000000"/>
          <w:sz w:val="24"/>
          <w:szCs w:val="24"/>
          <w:lang w:val="en-CA"/>
        </w:rPr>
        <w:t>fi</w:t>
      </w:r>
      <w:r w:rsidRPr="007E51A1">
        <w:rPr>
          <w:rFonts w:cstheme="minorHAnsi"/>
          <w:color w:val="000000"/>
          <w:sz w:val="24"/>
          <w:szCs w:val="24"/>
          <w:lang w:val="en-CA"/>
        </w:rPr>
        <w:t>rst, what is agency? By offering different de</w:t>
      </w:r>
      <w:r w:rsidRPr="007E51A1">
        <w:rPr>
          <w:rFonts w:eastAsia="AdvTTec369687+fb" w:cstheme="minorHAnsi"/>
          <w:color w:val="000000"/>
          <w:sz w:val="24"/>
          <w:szCs w:val="24"/>
          <w:lang w:val="en-CA"/>
        </w:rPr>
        <w:t>fi</w:t>
      </w:r>
      <w:r w:rsidRPr="007E51A1">
        <w:rPr>
          <w:rFonts w:cstheme="minorHAnsi"/>
          <w:color w:val="000000"/>
          <w:sz w:val="24"/>
          <w:szCs w:val="24"/>
          <w:lang w:val="en-CA"/>
        </w:rPr>
        <w:t>nitions, the papers demonstrate just what a dif</w:t>
      </w:r>
      <w:r w:rsidRPr="007E51A1">
        <w:rPr>
          <w:rFonts w:eastAsia="AdvTTec369687+fb" w:cstheme="minorHAnsi"/>
          <w:color w:val="000000"/>
          <w:sz w:val="24"/>
          <w:szCs w:val="24"/>
          <w:lang w:val="en-CA"/>
        </w:rPr>
        <w:t>fi</w:t>
      </w:r>
      <w:r w:rsidRPr="007E51A1">
        <w:rPr>
          <w:rFonts w:cstheme="minorHAnsi"/>
          <w:color w:val="000000"/>
          <w:sz w:val="24"/>
          <w:szCs w:val="24"/>
          <w:lang w:val="en-CA"/>
        </w:rPr>
        <w:t>cult question this is. My favourite explanation of agency is a relatively old one. It was offered by Charles Taylor in a 1997 essay, where he connected agency with both responsibility and self-evaluation, themes which resonate across the current collection of papers.  (</w:t>
      </w:r>
      <w:r w:rsidR="0099789C">
        <w:rPr>
          <w:rFonts w:cstheme="minorHAnsi"/>
          <w:color w:val="000000"/>
          <w:sz w:val="24"/>
          <w:szCs w:val="24"/>
          <w:lang w:val="en-CA"/>
        </w:rPr>
        <w:t xml:space="preserve">Edwards, 2015, </w:t>
      </w:r>
      <w:r w:rsidRPr="007E51A1">
        <w:rPr>
          <w:rFonts w:cstheme="minorHAnsi"/>
          <w:color w:val="000000"/>
          <w:sz w:val="24"/>
          <w:szCs w:val="24"/>
          <w:lang w:val="en-CA"/>
        </w:rPr>
        <w:t xml:space="preserve">p.779) </w:t>
      </w:r>
    </w:p>
    <w:p w:rsidR="00543F11" w:rsidRDefault="00543F11" w:rsidP="0099789C">
      <w:pPr>
        <w:autoSpaceDE w:val="0"/>
        <w:autoSpaceDN w:val="0"/>
        <w:adjustRightInd w:val="0"/>
        <w:spacing w:line="360" w:lineRule="auto"/>
        <w:rPr>
          <w:rFonts w:cstheme="minorHAnsi"/>
          <w:color w:val="000000"/>
          <w:sz w:val="24"/>
          <w:szCs w:val="24"/>
          <w:lang w:val="en-CA"/>
        </w:rPr>
      </w:pPr>
    </w:p>
    <w:p w:rsidR="00543F11" w:rsidRPr="007E51A1" w:rsidRDefault="00543F11" w:rsidP="00543F11">
      <w:pPr>
        <w:spacing w:line="360" w:lineRule="auto"/>
        <w:rPr>
          <w:rFonts w:cstheme="minorHAnsi"/>
          <w:color w:val="000000"/>
          <w:sz w:val="24"/>
          <w:szCs w:val="24"/>
          <w:lang w:val="en-CA"/>
        </w:rPr>
      </w:pPr>
      <w:r w:rsidRPr="007E51A1">
        <w:rPr>
          <w:rFonts w:cstheme="minorHAnsi"/>
          <w:color w:val="000000"/>
          <w:sz w:val="24"/>
          <w:szCs w:val="24"/>
          <w:lang w:val="en-CA"/>
        </w:rPr>
        <w:t>To be agentic we need to be able to make responsible strong judgements about the worth of our intentions when we take actions. Also we need to be able to evaluate for ourselves whether we have met the goals we have set ourselves. Taylor</w:t>
      </w:r>
      <w:r w:rsidRPr="007E51A1">
        <w:rPr>
          <w:rFonts w:eastAsia="AdvTTec369687+20" w:cstheme="minorHAnsi"/>
          <w:color w:val="000000"/>
          <w:sz w:val="24"/>
          <w:szCs w:val="24"/>
          <w:lang w:val="en-CA"/>
        </w:rPr>
        <w:t>’</w:t>
      </w:r>
      <w:r w:rsidRPr="007E51A1">
        <w:rPr>
          <w:rFonts w:cstheme="minorHAnsi"/>
          <w:color w:val="000000"/>
          <w:sz w:val="24"/>
          <w:szCs w:val="24"/>
          <w:lang w:val="en-CA"/>
        </w:rPr>
        <w:t>s is not a narrow individualistic de</w:t>
      </w:r>
      <w:r w:rsidRPr="007E51A1">
        <w:rPr>
          <w:rFonts w:eastAsia="AdvTTec369687+fb" w:cstheme="minorHAnsi"/>
          <w:color w:val="000000"/>
          <w:sz w:val="24"/>
          <w:szCs w:val="24"/>
          <w:lang w:val="en-CA"/>
        </w:rPr>
        <w:t>fi</w:t>
      </w:r>
      <w:r w:rsidRPr="007E51A1">
        <w:rPr>
          <w:rFonts w:cstheme="minorHAnsi"/>
          <w:color w:val="000000"/>
          <w:sz w:val="24"/>
          <w:szCs w:val="24"/>
          <w:lang w:val="en-CA"/>
        </w:rPr>
        <w:t>nition. Responsibility and connection to the wider good have long been concerns of his when discussing agency (</w:t>
      </w:r>
      <w:r w:rsidRPr="007E51A1">
        <w:rPr>
          <w:rFonts w:cstheme="minorHAnsi"/>
          <w:color w:val="000080"/>
          <w:sz w:val="24"/>
          <w:szCs w:val="24"/>
          <w:lang w:val="en-CA"/>
        </w:rPr>
        <w:t>1989, 1991</w:t>
      </w:r>
      <w:r w:rsidRPr="007E51A1">
        <w:rPr>
          <w:rFonts w:cstheme="minorHAnsi"/>
          <w:color w:val="000000"/>
          <w:sz w:val="24"/>
          <w:szCs w:val="24"/>
          <w:lang w:val="en-CA"/>
        </w:rPr>
        <w:t>) and are relevant to the public service that marks teaching. (</w:t>
      </w:r>
      <w:r>
        <w:rPr>
          <w:rFonts w:cstheme="minorHAnsi"/>
          <w:color w:val="000000"/>
          <w:sz w:val="24"/>
          <w:szCs w:val="24"/>
          <w:lang w:val="en-CA"/>
        </w:rPr>
        <w:t xml:space="preserve">Edwards, 2015, </w:t>
      </w:r>
      <w:r w:rsidRPr="007E51A1">
        <w:rPr>
          <w:rFonts w:cstheme="minorHAnsi"/>
          <w:color w:val="000000"/>
          <w:sz w:val="24"/>
          <w:szCs w:val="24"/>
          <w:lang w:val="en-CA"/>
        </w:rPr>
        <w:t xml:space="preserve">p.780) </w:t>
      </w:r>
    </w:p>
    <w:p w:rsidR="00543F11" w:rsidRDefault="00543F11" w:rsidP="0099789C">
      <w:pPr>
        <w:autoSpaceDE w:val="0"/>
        <w:autoSpaceDN w:val="0"/>
        <w:adjustRightInd w:val="0"/>
        <w:spacing w:line="360" w:lineRule="auto"/>
        <w:rPr>
          <w:rFonts w:cstheme="minorHAnsi"/>
          <w:color w:val="000000"/>
          <w:sz w:val="24"/>
          <w:szCs w:val="24"/>
          <w:lang w:val="en-CA"/>
        </w:rPr>
      </w:pPr>
    </w:p>
    <w:p w:rsidR="000D52FF" w:rsidRDefault="000D52FF" w:rsidP="000D52FF"/>
    <w:p w:rsidR="000D52FF" w:rsidRPr="007E51A1" w:rsidRDefault="000D52FF" w:rsidP="000D52FF">
      <w:pPr>
        <w:spacing w:line="360" w:lineRule="auto"/>
        <w:rPr>
          <w:rFonts w:cstheme="minorHAnsi"/>
          <w:color w:val="000000"/>
          <w:sz w:val="24"/>
          <w:szCs w:val="24"/>
          <w:lang w:val="en-CA"/>
        </w:rPr>
      </w:pPr>
      <w:r w:rsidRPr="007E51A1">
        <w:rPr>
          <w:rFonts w:cstheme="minorHAnsi"/>
          <w:color w:val="000000"/>
          <w:sz w:val="24"/>
          <w:szCs w:val="24"/>
          <w:lang w:val="en-CA"/>
        </w:rPr>
        <w:lastRenderedPageBreak/>
        <w:t>There is an emerging tendency in curriculum policy in the UK and elsewhere to acknowledge the importance of teachers</w:t>
      </w:r>
      <w:r w:rsidRPr="007E51A1">
        <w:rPr>
          <w:rFonts w:eastAsia="AdvTTec369687+20" w:cstheme="minorHAnsi"/>
          <w:color w:val="000000"/>
          <w:sz w:val="24"/>
          <w:szCs w:val="24"/>
          <w:lang w:val="en-CA"/>
        </w:rPr>
        <w:t xml:space="preserve">’ </w:t>
      </w:r>
      <w:r w:rsidRPr="007E51A1">
        <w:rPr>
          <w:rFonts w:cstheme="minorHAnsi"/>
          <w:color w:val="000000"/>
          <w:sz w:val="24"/>
          <w:szCs w:val="24"/>
          <w:lang w:val="en-CA"/>
        </w:rPr>
        <w:t xml:space="preserve">agency </w:t>
      </w:r>
      <w:r w:rsidRPr="007E51A1">
        <w:rPr>
          <w:rFonts w:eastAsia="AdvTTec369687+20" w:cstheme="minorHAnsi"/>
          <w:color w:val="000000"/>
          <w:sz w:val="24"/>
          <w:szCs w:val="24"/>
          <w:lang w:val="en-CA"/>
        </w:rPr>
        <w:t xml:space="preserve">– </w:t>
      </w:r>
      <w:r w:rsidRPr="007E51A1">
        <w:rPr>
          <w:rFonts w:cstheme="minorHAnsi"/>
          <w:color w:val="000000"/>
          <w:sz w:val="24"/>
          <w:szCs w:val="24"/>
          <w:lang w:val="en-CA"/>
        </w:rPr>
        <w:t xml:space="preserve">that is, their active contribution to shaping their work and its conditions </w:t>
      </w:r>
      <w:r w:rsidRPr="007E51A1">
        <w:rPr>
          <w:rFonts w:eastAsia="AdvTTec369687+20" w:cstheme="minorHAnsi"/>
          <w:color w:val="000000"/>
          <w:sz w:val="24"/>
          <w:szCs w:val="24"/>
          <w:lang w:val="en-CA"/>
        </w:rPr>
        <w:t xml:space="preserve">– </w:t>
      </w:r>
      <w:r w:rsidRPr="007E51A1">
        <w:rPr>
          <w:rFonts w:cstheme="minorHAnsi"/>
          <w:color w:val="000000"/>
          <w:sz w:val="24"/>
          <w:szCs w:val="24"/>
          <w:lang w:val="en-CA"/>
        </w:rPr>
        <w:t xml:space="preserve">for the overall quality of education (see, e.g. Goodson, </w:t>
      </w:r>
      <w:r w:rsidRPr="007E51A1">
        <w:rPr>
          <w:rFonts w:cstheme="minorHAnsi"/>
          <w:color w:val="000080"/>
          <w:sz w:val="24"/>
          <w:szCs w:val="24"/>
          <w:lang w:val="en-CA"/>
        </w:rPr>
        <w:t>2003</w:t>
      </w:r>
      <w:r w:rsidRPr="007E51A1">
        <w:rPr>
          <w:rFonts w:cstheme="minorHAnsi"/>
          <w:color w:val="000000"/>
          <w:sz w:val="24"/>
          <w:szCs w:val="24"/>
          <w:lang w:val="en-CA"/>
        </w:rPr>
        <w:t xml:space="preserve">; </w:t>
      </w:r>
      <w:proofErr w:type="spellStart"/>
      <w:r w:rsidRPr="007E51A1">
        <w:rPr>
          <w:rFonts w:cstheme="minorHAnsi"/>
          <w:color w:val="000000"/>
          <w:sz w:val="24"/>
          <w:szCs w:val="24"/>
          <w:lang w:val="en-CA"/>
        </w:rPr>
        <w:t>Nieveen</w:t>
      </w:r>
      <w:proofErr w:type="spellEnd"/>
      <w:r w:rsidRPr="007E51A1">
        <w:rPr>
          <w:rFonts w:cstheme="minorHAnsi"/>
          <w:color w:val="000000"/>
          <w:sz w:val="24"/>
          <w:szCs w:val="24"/>
          <w:lang w:val="en-CA"/>
        </w:rPr>
        <w:t xml:space="preserve">, </w:t>
      </w:r>
      <w:r w:rsidRPr="007E51A1">
        <w:rPr>
          <w:rFonts w:cstheme="minorHAnsi"/>
          <w:color w:val="000080"/>
          <w:sz w:val="24"/>
          <w:szCs w:val="24"/>
          <w:lang w:val="en-CA"/>
        </w:rPr>
        <w:t>2011</w:t>
      </w:r>
      <w:r w:rsidRPr="007E51A1">
        <w:rPr>
          <w:rFonts w:cstheme="minorHAnsi"/>
          <w:color w:val="000000"/>
          <w:sz w:val="24"/>
          <w:szCs w:val="24"/>
          <w:lang w:val="en-CA"/>
        </w:rPr>
        <w:t xml:space="preserve">; Priestley, </w:t>
      </w:r>
      <w:r w:rsidRPr="007E51A1">
        <w:rPr>
          <w:rFonts w:cstheme="minorHAnsi"/>
          <w:color w:val="000080"/>
          <w:sz w:val="24"/>
          <w:szCs w:val="24"/>
          <w:lang w:val="en-CA"/>
        </w:rPr>
        <w:t>2011</w:t>
      </w:r>
      <w:r w:rsidRPr="007E51A1">
        <w:rPr>
          <w:rFonts w:cstheme="minorHAnsi"/>
          <w:color w:val="000000"/>
          <w:sz w:val="24"/>
          <w:szCs w:val="24"/>
          <w:lang w:val="en-CA"/>
        </w:rPr>
        <w:t xml:space="preserve">). (p.624) </w:t>
      </w:r>
    </w:p>
    <w:p w:rsidR="000D52FF" w:rsidRDefault="000D52FF" w:rsidP="000D52FF"/>
    <w:p w:rsidR="00393F40" w:rsidRDefault="001023F6" w:rsidP="000D52FF">
      <w:pPr>
        <w:pStyle w:val="Heading1"/>
      </w:pPr>
      <w:r w:rsidRPr="000D52FF">
        <w:t>Lesson from the research</w:t>
      </w:r>
    </w:p>
    <w:p w:rsidR="000D52FF" w:rsidRDefault="000D52FF" w:rsidP="000D52FF"/>
    <w:p w:rsidR="007D56CD" w:rsidRPr="007E51A1" w:rsidRDefault="007D56CD" w:rsidP="007D56CD">
      <w:pPr>
        <w:spacing w:line="360" w:lineRule="auto"/>
        <w:rPr>
          <w:rFonts w:cstheme="minorHAnsi"/>
          <w:color w:val="000000"/>
          <w:sz w:val="24"/>
          <w:szCs w:val="24"/>
          <w:lang w:val="en-CA"/>
        </w:rPr>
      </w:pPr>
      <w:r w:rsidRPr="007E51A1">
        <w:rPr>
          <w:rFonts w:cstheme="minorHAnsi"/>
          <w:color w:val="000000"/>
          <w:sz w:val="24"/>
          <w:szCs w:val="24"/>
          <w:lang w:val="en-CA"/>
        </w:rPr>
        <w:t xml:space="preserve">  Teacher agency plays a key role in teacher learning as manifested in collective efforts to confront, resist and work out pedagogical con</w:t>
      </w:r>
      <w:r w:rsidRPr="007E51A1">
        <w:rPr>
          <w:rFonts w:eastAsia="AdvOT863180fb+fb" w:cstheme="minorHAnsi"/>
          <w:color w:val="000000"/>
          <w:sz w:val="24"/>
          <w:szCs w:val="24"/>
          <w:lang w:val="en-CA"/>
        </w:rPr>
        <w:t>fl</w:t>
      </w:r>
      <w:r w:rsidRPr="007E51A1">
        <w:rPr>
          <w:rFonts w:cstheme="minorHAnsi"/>
          <w:color w:val="000000"/>
          <w:sz w:val="24"/>
          <w:szCs w:val="24"/>
          <w:lang w:val="en-CA"/>
        </w:rPr>
        <w:t>icts (</w:t>
      </w:r>
      <w:proofErr w:type="spellStart"/>
      <w:r w:rsidRPr="007E51A1">
        <w:rPr>
          <w:rFonts w:cstheme="minorHAnsi"/>
          <w:color w:val="2197D2"/>
          <w:sz w:val="24"/>
          <w:szCs w:val="24"/>
          <w:lang w:val="en-CA"/>
        </w:rPr>
        <w:t>Sannino</w:t>
      </w:r>
      <w:proofErr w:type="spellEnd"/>
      <w:r w:rsidRPr="007E51A1">
        <w:rPr>
          <w:rFonts w:cstheme="minorHAnsi"/>
          <w:color w:val="2197D2"/>
          <w:sz w:val="24"/>
          <w:szCs w:val="24"/>
          <w:lang w:val="en-CA"/>
        </w:rPr>
        <w:t>, 2010</w:t>
      </w:r>
      <w:proofErr w:type="gramStart"/>
      <w:r w:rsidRPr="007E51A1">
        <w:rPr>
          <w:rFonts w:cstheme="minorHAnsi"/>
          <w:color w:val="000000"/>
          <w:sz w:val="24"/>
          <w:szCs w:val="24"/>
          <w:lang w:val="en-CA"/>
        </w:rPr>
        <w:t>).(</w:t>
      </w:r>
      <w:proofErr w:type="gramEnd"/>
      <w:r w:rsidRPr="007E51A1">
        <w:rPr>
          <w:rFonts w:cstheme="minorHAnsi"/>
          <w:color w:val="000000"/>
          <w:sz w:val="24"/>
          <w:szCs w:val="24"/>
          <w:lang w:val="en-CA"/>
        </w:rPr>
        <w:t>p.347)</w:t>
      </w:r>
    </w:p>
    <w:p w:rsidR="007D56CD" w:rsidRPr="007E51A1" w:rsidRDefault="007D56CD" w:rsidP="007D56CD">
      <w:pPr>
        <w:spacing w:line="360" w:lineRule="auto"/>
        <w:rPr>
          <w:rFonts w:cstheme="minorHAnsi"/>
          <w:color w:val="000000"/>
          <w:sz w:val="24"/>
          <w:szCs w:val="24"/>
          <w:lang w:val="en-CA"/>
        </w:rPr>
      </w:pPr>
    </w:p>
    <w:p w:rsidR="007D56CD" w:rsidRPr="007E51A1" w:rsidRDefault="007D56CD" w:rsidP="007D56CD">
      <w:pPr>
        <w:spacing w:line="360" w:lineRule="auto"/>
        <w:rPr>
          <w:rFonts w:cstheme="minorHAnsi"/>
          <w:color w:val="000000"/>
          <w:sz w:val="24"/>
          <w:szCs w:val="24"/>
          <w:lang w:val="en-CA"/>
        </w:rPr>
      </w:pPr>
      <w:r w:rsidRPr="007E51A1">
        <w:rPr>
          <w:rFonts w:cstheme="minorHAnsi"/>
          <w:color w:val="000000"/>
          <w:sz w:val="24"/>
          <w:szCs w:val="24"/>
          <w:lang w:val="en-CA"/>
        </w:rPr>
        <w:t>In relation to identity, teacher agency has been considered a crucial component of intentional individuals, underlying teachers' construction of themselves as professionals (</w:t>
      </w:r>
      <w:proofErr w:type="spellStart"/>
      <w:r w:rsidRPr="007E51A1">
        <w:rPr>
          <w:rFonts w:cstheme="minorHAnsi"/>
          <w:color w:val="2197D2"/>
          <w:sz w:val="24"/>
          <w:szCs w:val="24"/>
          <w:lang w:val="en-CA"/>
        </w:rPr>
        <w:t>Beijaard</w:t>
      </w:r>
      <w:proofErr w:type="spellEnd"/>
      <w:r w:rsidRPr="007E51A1">
        <w:rPr>
          <w:rFonts w:cstheme="minorHAnsi"/>
          <w:color w:val="2197D2"/>
          <w:sz w:val="24"/>
          <w:szCs w:val="24"/>
          <w:lang w:val="en-CA"/>
        </w:rPr>
        <w:t xml:space="preserve"> et al., 2004; Varghese, Morgan, Johnston, &amp; Johnson, 2005</w:t>
      </w:r>
      <w:r w:rsidRPr="007E51A1">
        <w:rPr>
          <w:rFonts w:cstheme="minorHAnsi"/>
          <w:color w:val="000000"/>
          <w:sz w:val="24"/>
          <w:szCs w:val="24"/>
          <w:lang w:val="en-CA"/>
        </w:rPr>
        <w:t>). In other words, teacher agency is a core aspect of identity formation and development. Recent research, however, contends that teachers practise agency in line with who they say they are (</w:t>
      </w:r>
      <w:r w:rsidRPr="007E51A1">
        <w:rPr>
          <w:rFonts w:cstheme="minorHAnsi"/>
          <w:color w:val="2197D2"/>
          <w:sz w:val="24"/>
          <w:szCs w:val="24"/>
          <w:lang w:val="en-CA"/>
        </w:rPr>
        <w:t>Sloan, 2006</w:t>
      </w:r>
      <w:r w:rsidRPr="007E51A1">
        <w:rPr>
          <w:rFonts w:cstheme="minorHAnsi"/>
          <w:color w:val="000000"/>
          <w:sz w:val="24"/>
          <w:szCs w:val="24"/>
          <w:lang w:val="en-CA"/>
        </w:rPr>
        <w:t>). Teacher agency has been examined through teacher positioning (</w:t>
      </w:r>
      <w:proofErr w:type="spellStart"/>
      <w:r w:rsidRPr="007E51A1">
        <w:rPr>
          <w:rFonts w:cstheme="minorHAnsi"/>
          <w:color w:val="2197D2"/>
          <w:sz w:val="24"/>
          <w:szCs w:val="24"/>
          <w:lang w:val="en-CA"/>
        </w:rPr>
        <w:t>Kayi</w:t>
      </w:r>
      <w:proofErr w:type="spellEnd"/>
      <w:r w:rsidRPr="007E51A1">
        <w:rPr>
          <w:rFonts w:cstheme="minorHAnsi"/>
          <w:color w:val="2197D2"/>
          <w:sz w:val="24"/>
          <w:szCs w:val="24"/>
          <w:lang w:val="en-CA"/>
        </w:rPr>
        <w:t xml:space="preserve">- </w:t>
      </w:r>
      <w:proofErr w:type="spellStart"/>
      <w:r w:rsidRPr="007E51A1">
        <w:rPr>
          <w:rFonts w:cstheme="minorHAnsi"/>
          <w:color w:val="2197D2"/>
          <w:sz w:val="24"/>
          <w:szCs w:val="24"/>
          <w:lang w:val="en-CA"/>
        </w:rPr>
        <w:t>Aydar</w:t>
      </w:r>
      <w:proofErr w:type="spellEnd"/>
      <w:r w:rsidRPr="007E51A1">
        <w:rPr>
          <w:rFonts w:cstheme="minorHAnsi"/>
          <w:color w:val="2197D2"/>
          <w:sz w:val="24"/>
          <w:szCs w:val="24"/>
          <w:lang w:val="en-CA"/>
        </w:rPr>
        <w:t xml:space="preserve">, 2015; </w:t>
      </w:r>
      <w:proofErr w:type="spellStart"/>
      <w:r w:rsidRPr="007E51A1">
        <w:rPr>
          <w:rFonts w:cstheme="minorHAnsi"/>
          <w:color w:val="2197D2"/>
          <w:sz w:val="24"/>
          <w:szCs w:val="24"/>
          <w:lang w:val="en-CA"/>
        </w:rPr>
        <w:t>V€ah€asantanen</w:t>
      </w:r>
      <w:proofErr w:type="spellEnd"/>
      <w:r w:rsidRPr="007E51A1">
        <w:rPr>
          <w:rFonts w:cstheme="minorHAnsi"/>
          <w:color w:val="2197D2"/>
          <w:sz w:val="24"/>
          <w:szCs w:val="24"/>
          <w:lang w:val="en-CA"/>
        </w:rPr>
        <w:t xml:space="preserve"> &amp; </w:t>
      </w:r>
      <w:proofErr w:type="spellStart"/>
      <w:r w:rsidRPr="007E51A1">
        <w:rPr>
          <w:rFonts w:cstheme="minorHAnsi"/>
          <w:color w:val="2197D2"/>
          <w:sz w:val="24"/>
          <w:szCs w:val="24"/>
          <w:lang w:val="en-CA"/>
        </w:rPr>
        <w:t>Etel€apelto</w:t>
      </w:r>
      <w:proofErr w:type="spellEnd"/>
      <w:r w:rsidRPr="007E51A1">
        <w:rPr>
          <w:rFonts w:cstheme="minorHAnsi"/>
          <w:color w:val="2197D2"/>
          <w:sz w:val="24"/>
          <w:szCs w:val="24"/>
          <w:lang w:val="en-CA"/>
        </w:rPr>
        <w:t>, 2009</w:t>
      </w:r>
      <w:r w:rsidRPr="007E51A1">
        <w:rPr>
          <w:rFonts w:cstheme="minorHAnsi"/>
          <w:color w:val="000000"/>
          <w:sz w:val="24"/>
          <w:szCs w:val="24"/>
          <w:lang w:val="en-CA"/>
        </w:rPr>
        <w:t>), teachers' role (</w:t>
      </w:r>
      <w:r w:rsidRPr="007E51A1">
        <w:rPr>
          <w:rFonts w:cstheme="minorHAnsi"/>
          <w:color w:val="2197D2"/>
          <w:sz w:val="24"/>
          <w:szCs w:val="24"/>
          <w:lang w:val="en-CA"/>
        </w:rPr>
        <w:t>Campbell, 2012</w:t>
      </w:r>
      <w:r w:rsidRPr="007E51A1">
        <w:rPr>
          <w:rFonts w:cstheme="minorHAnsi"/>
          <w:color w:val="000000"/>
          <w:sz w:val="24"/>
          <w:szCs w:val="24"/>
          <w:lang w:val="en-CA"/>
        </w:rPr>
        <w:t>) and teachers' self-authored ‘I’ (</w:t>
      </w:r>
      <w:r w:rsidRPr="007E51A1">
        <w:rPr>
          <w:rFonts w:cstheme="minorHAnsi"/>
          <w:color w:val="2197D2"/>
          <w:sz w:val="24"/>
          <w:szCs w:val="24"/>
          <w:lang w:val="en-CA"/>
        </w:rPr>
        <w:t>Sloan, 2006</w:t>
      </w:r>
      <w:r w:rsidRPr="007E51A1">
        <w:rPr>
          <w:rFonts w:cstheme="minorHAnsi"/>
          <w:color w:val="000000"/>
          <w:sz w:val="24"/>
          <w:szCs w:val="24"/>
          <w:lang w:val="en-CA"/>
        </w:rPr>
        <w:t>), indicating that teachers' identity must be considered in terms of their agentic choices and actions. These studies indicate teacher identity mediates and shapes the practice of teacher agency particularly manifested in their classroom practices in the context of changing student populations (</w:t>
      </w:r>
      <w:proofErr w:type="spellStart"/>
      <w:r w:rsidRPr="007E51A1">
        <w:rPr>
          <w:rFonts w:cstheme="minorHAnsi"/>
          <w:color w:val="2197D2"/>
          <w:sz w:val="24"/>
          <w:szCs w:val="24"/>
          <w:lang w:val="en-CA"/>
        </w:rPr>
        <w:t>Kayi-Aydar</w:t>
      </w:r>
      <w:proofErr w:type="spellEnd"/>
      <w:r w:rsidRPr="007E51A1">
        <w:rPr>
          <w:rFonts w:cstheme="minorHAnsi"/>
          <w:color w:val="2197D2"/>
          <w:sz w:val="24"/>
          <w:szCs w:val="24"/>
          <w:lang w:val="en-CA"/>
        </w:rPr>
        <w:t>, 2015</w:t>
      </w:r>
      <w:r w:rsidRPr="007E51A1">
        <w:rPr>
          <w:rFonts w:cstheme="minorHAnsi"/>
          <w:color w:val="000000"/>
          <w:sz w:val="24"/>
          <w:szCs w:val="24"/>
          <w:lang w:val="en-CA"/>
        </w:rPr>
        <w:t>) and shifting educational policies (</w:t>
      </w:r>
      <w:r w:rsidRPr="007E51A1">
        <w:rPr>
          <w:rFonts w:cstheme="minorHAnsi"/>
          <w:color w:val="2197D2"/>
          <w:sz w:val="24"/>
          <w:szCs w:val="24"/>
          <w:lang w:val="en-CA"/>
        </w:rPr>
        <w:t>Toom et al., 2015</w:t>
      </w:r>
      <w:r w:rsidRPr="007E51A1">
        <w:rPr>
          <w:rFonts w:cstheme="minorHAnsi"/>
          <w:color w:val="000000"/>
          <w:sz w:val="24"/>
          <w:szCs w:val="24"/>
          <w:lang w:val="en-CA"/>
        </w:rPr>
        <w:t>). (</w:t>
      </w:r>
      <w:r>
        <w:rPr>
          <w:rFonts w:cstheme="minorHAnsi"/>
          <w:color w:val="000000"/>
          <w:sz w:val="24"/>
          <w:szCs w:val="24"/>
          <w:lang w:val="en-CA"/>
        </w:rPr>
        <w:t xml:space="preserve">Tao &amp; Gao, 2017, </w:t>
      </w:r>
      <w:r w:rsidRPr="007E51A1">
        <w:rPr>
          <w:rFonts w:cstheme="minorHAnsi"/>
          <w:color w:val="000000"/>
          <w:sz w:val="24"/>
          <w:szCs w:val="24"/>
          <w:lang w:val="en-CA"/>
        </w:rPr>
        <w:t xml:space="preserve">p.347) </w:t>
      </w:r>
    </w:p>
    <w:p w:rsidR="007D56CD" w:rsidRDefault="007D56CD" w:rsidP="000D52FF"/>
    <w:p w:rsidR="000D52FF" w:rsidRDefault="000D52FF" w:rsidP="000D52FF"/>
    <w:p w:rsidR="00393F40" w:rsidRPr="000D52FF" w:rsidRDefault="001023F6" w:rsidP="000D52FF">
      <w:pPr>
        <w:pStyle w:val="Heading1"/>
      </w:pPr>
      <w:r w:rsidRPr="000D52FF">
        <w:rPr>
          <w:lang w:val="en-CA"/>
        </w:rPr>
        <w:t>How does your research come out of this?</w:t>
      </w:r>
    </w:p>
    <w:p w:rsidR="000D52FF" w:rsidRPr="000D52FF" w:rsidRDefault="000D52FF" w:rsidP="000D52FF"/>
    <w:p w:rsidR="000D52FF" w:rsidRDefault="00C00762" w:rsidP="00C00762">
      <w:r w:rsidRPr="007E51A1">
        <w:rPr>
          <w:rFonts w:cstheme="minorHAnsi"/>
          <w:color w:val="000000"/>
          <w:sz w:val="24"/>
          <w:szCs w:val="24"/>
          <w:lang w:val="en-CA"/>
        </w:rPr>
        <w:lastRenderedPageBreak/>
        <w:t>I would therefore like to make the case for slightly more attention, when studying teachers</w:t>
      </w:r>
      <w:r w:rsidRPr="007E51A1">
        <w:rPr>
          <w:rFonts w:eastAsia="AdvTTec369687+20" w:cstheme="minorHAnsi"/>
          <w:color w:val="000000"/>
          <w:sz w:val="24"/>
          <w:szCs w:val="24"/>
          <w:lang w:val="en-CA"/>
        </w:rPr>
        <w:t xml:space="preserve">’ </w:t>
      </w:r>
      <w:r w:rsidRPr="007E51A1">
        <w:rPr>
          <w:rFonts w:cstheme="minorHAnsi"/>
          <w:color w:val="000000"/>
          <w:sz w:val="24"/>
          <w:szCs w:val="24"/>
          <w:lang w:val="en-CA"/>
        </w:rPr>
        <w:t>professional agency, to the dialectic and the demands experienced by teachers.</w:t>
      </w:r>
      <w:r>
        <w:rPr>
          <w:rFonts w:cstheme="minorHAnsi"/>
          <w:color w:val="000000"/>
          <w:sz w:val="24"/>
          <w:szCs w:val="24"/>
          <w:lang w:val="en-CA"/>
        </w:rPr>
        <w:t xml:space="preserve"> (Edwards, 2015, p.781)</w:t>
      </w:r>
    </w:p>
    <w:sectPr w:rsidR="000D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dvTTec369687+fb">
    <w:altName w:val="바탕"/>
    <w:panose1 w:val="00000000000000000000"/>
    <w:charset w:val="81"/>
    <w:family w:val="auto"/>
    <w:notTrueType/>
    <w:pitch w:val="default"/>
    <w:sig w:usb0="00000003" w:usb1="09060000" w:usb2="00000010" w:usb3="00000000" w:csb0="00080001" w:csb1="00000000"/>
  </w:font>
  <w:font w:name="AdvTTec369687+20">
    <w:altName w:val="바탕"/>
    <w:panose1 w:val="00000000000000000000"/>
    <w:charset w:val="81"/>
    <w:family w:val="auto"/>
    <w:notTrueType/>
    <w:pitch w:val="default"/>
    <w:sig w:usb0="00000003" w:usb1="09060000" w:usb2="00000010" w:usb3="00000000" w:csb0="00080001" w:csb1="00000000"/>
  </w:font>
  <w:font w:name="AdvOT863180fb+fb">
    <w:altName w:val="바탕"/>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46E"/>
    <w:multiLevelType w:val="hybridMultilevel"/>
    <w:tmpl w:val="E524126C"/>
    <w:lvl w:ilvl="0" w:tplc="09A692D6">
      <w:start w:val="1"/>
      <w:numFmt w:val="bullet"/>
      <w:lvlText w:val=""/>
      <w:lvlJc w:val="left"/>
      <w:pPr>
        <w:tabs>
          <w:tab w:val="num" w:pos="720"/>
        </w:tabs>
        <w:ind w:left="720" w:hanging="360"/>
      </w:pPr>
      <w:rPr>
        <w:rFonts w:ascii="Wingdings 2" w:hAnsi="Wingdings 2" w:hint="default"/>
      </w:rPr>
    </w:lvl>
    <w:lvl w:ilvl="1" w:tplc="AEF20C96" w:tentative="1">
      <w:start w:val="1"/>
      <w:numFmt w:val="bullet"/>
      <w:lvlText w:val=""/>
      <w:lvlJc w:val="left"/>
      <w:pPr>
        <w:tabs>
          <w:tab w:val="num" w:pos="1440"/>
        </w:tabs>
        <w:ind w:left="1440" w:hanging="360"/>
      </w:pPr>
      <w:rPr>
        <w:rFonts w:ascii="Wingdings 2" w:hAnsi="Wingdings 2" w:hint="default"/>
      </w:rPr>
    </w:lvl>
    <w:lvl w:ilvl="2" w:tplc="3A2E5E34" w:tentative="1">
      <w:start w:val="1"/>
      <w:numFmt w:val="bullet"/>
      <w:lvlText w:val=""/>
      <w:lvlJc w:val="left"/>
      <w:pPr>
        <w:tabs>
          <w:tab w:val="num" w:pos="2160"/>
        </w:tabs>
        <w:ind w:left="2160" w:hanging="360"/>
      </w:pPr>
      <w:rPr>
        <w:rFonts w:ascii="Wingdings 2" w:hAnsi="Wingdings 2" w:hint="default"/>
      </w:rPr>
    </w:lvl>
    <w:lvl w:ilvl="3" w:tplc="65D4D8C0" w:tentative="1">
      <w:start w:val="1"/>
      <w:numFmt w:val="bullet"/>
      <w:lvlText w:val=""/>
      <w:lvlJc w:val="left"/>
      <w:pPr>
        <w:tabs>
          <w:tab w:val="num" w:pos="2880"/>
        </w:tabs>
        <w:ind w:left="2880" w:hanging="360"/>
      </w:pPr>
      <w:rPr>
        <w:rFonts w:ascii="Wingdings 2" w:hAnsi="Wingdings 2" w:hint="default"/>
      </w:rPr>
    </w:lvl>
    <w:lvl w:ilvl="4" w:tplc="F49C85F6" w:tentative="1">
      <w:start w:val="1"/>
      <w:numFmt w:val="bullet"/>
      <w:lvlText w:val=""/>
      <w:lvlJc w:val="left"/>
      <w:pPr>
        <w:tabs>
          <w:tab w:val="num" w:pos="3600"/>
        </w:tabs>
        <w:ind w:left="3600" w:hanging="360"/>
      </w:pPr>
      <w:rPr>
        <w:rFonts w:ascii="Wingdings 2" w:hAnsi="Wingdings 2" w:hint="default"/>
      </w:rPr>
    </w:lvl>
    <w:lvl w:ilvl="5" w:tplc="A14C5176" w:tentative="1">
      <w:start w:val="1"/>
      <w:numFmt w:val="bullet"/>
      <w:lvlText w:val=""/>
      <w:lvlJc w:val="left"/>
      <w:pPr>
        <w:tabs>
          <w:tab w:val="num" w:pos="4320"/>
        </w:tabs>
        <w:ind w:left="4320" w:hanging="360"/>
      </w:pPr>
      <w:rPr>
        <w:rFonts w:ascii="Wingdings 2" w:hAnsi="Wingdings 2" w:hint="default"/>
      </w:rPr>
    </w:lvl>
    <w:lvl w:ilvl="6" w:tplc="87089EEA" w:tentative="1">
      <w:start w:val="1"/>
      <w:numFmt w:val="bullet"/>
      <w:lvlText w:val=""/>
      <w:lvlJc w:val="left"/>
      <w:pPr>
        <w:tabs>
          <w:tab w:val="num" w:pos="5040"/>
        </w:tabs>
        <w:ind w:left="5040" w:hanging="360"/>
      </w:pPr>
      <w:rPr>
        <w:rFonts w:ascii="Wingdings 2" w:hAnsi="Wingdings 2" w:hint="default"/>
      </w:rPr>
    </w:lvl>
    <w:lvl w:ilvl="7" w:tplc="1B62CEDA" w:tentative="1">
      <w:start w:val="1"/>
      <w:numFmt w:val="bullet"/>
      <w:lvlText w:val=""/>
      <w:lvlJc w:val="left"/>
      <w:pPr>
        <w:tabs>
          <w:tab w:val="num" w:pos="5760"/>
        </w:tabs>
        <w:ind w:left="5760" w:hanging="360"/>
      </w:pPr>
      <w:rPr>
        <w:rFonts w:ascii="Wingdings 2" w:hAnsi="Wingdings 2" w:hint="default"/>
      </w:rPr>
    </w:lvl>
    <w:lvl w:ilvl="8" w:tplc="0BBCA8E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4671977"/>
    <w:multiLevelType w:val="hybridMultilevel"/>
    <w:tmpl w:val="3F9EE454"/>
    <w:lvl w:ilvl="0" w:tplc="06DA1FA2">
      <w:start w:val="1"/>
      <w:numFmt w:val="bullet"/>
      <w:lvlText w:val=""/>
      <w:lvlJc w:val="left"/>
      <w:pPr>
        <w:tabs>
          <w:tab w:val="num" w:pos="720"/>
        </w:tabs>
        <w:ind w:left="720" w:hanging="360"/>
      </w:pPr>
      <w:rPr>
        <w:rFonts w:ascii="Wingdings 2" w:hAnsi="Wingdings 2" w:hint="default"/>
      </w:rPr>
    </w:lvl>
    <w:lvl w:ilvl="1" w:tplc="D2CA42C0" w:tentative="1">
      <w:start w:val="1"/>
      <w:numFmt w:val="bullet"/>
      <w:lvlText w:val=""/>
      <w:lvlJc w:val="left"/>
      <w:pPr>
        <w:tabs>
          <w:tab w:val="num" w:pos="1440"/>
        </w:tabs>
        <w:ind w:left="1440" w:hanging="360"/>
      </w:pPr>
      <w:rPr>
        <w:rFonts w:ascii="Wingdings 2" w:hAnsi="Wingdings 2" w:hint="default"/>
      </w:rPr>
    </w:lvl>
    <w:lvl w:ilvl="2" w:tplc="1FAEA452" w:tentative="1">
      <w:start w:val="1"/>
      <w:numFmt w:val="bullet"/>
      <w:lvlText w:val=""/>
      <w:lvlJc w:val="left"/>
      <w:pPr>
        <w:tabs>
          <w:tab w:val="num" w:pos="2160"/>
        </w:tabs>
        <w:ind w:left="2160" w:hanging="360"/>
      </w:pPr>
      <w:rPr>
        <w:rFonts w:ascii="Wingdings 2" w:hAnsi="Wingdings 2" w:hint="default"/>
      </w:rPr>
    </w:lvl>
    <w:lvl w:ilvl="3" w:tplc="5E36BD28" w:tentative="1">
      <w:start w:val="1"/>
      <w:numFmt w:val="bullet"/>
      <w:lvlText w:val=""/>
      <w:lvlJc w:val="left"/>
      <w:pPr>
        <w:tabs>
          <w:tab w:val="num" w:pos="2880"/>
        </w:tabs>
        <w:ind w:left="2880" w:hanging="360"/>
      </w:pPr>
      <w:rPr>
        <w:rFonts w:ascii="Wingdings 2" w:hAnsi="Wingdings 2" w:hint="default"/>
      </w:rPr>
    </w:lvl>
    <w:lvl w:ilvl="4" w:tplc="391A195E" w:tentative="1">
      <w:start w:val="1"/>
      <w:numFmt w:val="bullet"/>
      <w:lvlText w:val=""/>
      <w:lvlJc w:val="left"/>
      <w:pPr>
        <w:tabs>
          <w:tab w:val="num" w:pos="3600"/>
        </w:tabs>
        <w:ind w:left="3600" w:hanging="360"/>
      </w:pPr>
      <w:rPr>
        <w:rFonts w:ascii="Wingdings 2" w:hAnsi="Wingdings 2" w:hint="default"/>
      </w:rPr>
    </w:lvl>
    <w:lvl w:ilvl="5" w:tplc="7FAA4046" w:tentative="1">
      <w:start w:val="1"/>
      <w:numFmt w:val="bullet"/>
      <w:lvlText w:val=""/>
      <w:lvlJc w:val="left"/>
      <w:pPr>
        <w:tabs>
          <w:tab w:val="num" w:pos="4320"/>
        </w:tabs>
        <w:ind w:left="4320" w:hanging="360"/>
      </w:pPr>
      <w:rPr>
        <w:rFonts w:ascii="Wingdings 2" w:hAnsi="Wingdings 2" w:hint="default"/>
      </w:rPr>
    </w:lvl>
    <w:lvl w:ilvl="6" w:tplc="3E7699FA" w:tentative="1">
      <w:start w:val="1"/>
      <w:numFmt w:val="bullet"/>
      <w:lvlText w:val=""/>
      <w:lvlJc w:val="left"/>
      <w:pPr>
        <w:tabs>
          <w:tab w:val="num" w:pos="5040"/>
        </w:tabs>
        <w:ind w:left="5040" w:hanging="360"/>
      </w:pPr>
      <w:rPr>
        <w:rFonts w:ascii="Wingdings 2" w:hAnsi="Wingdings 2" w:hint="default"/>
      </w:rPr>
    </w:lvl>
    <w:lvl w:ilvl="7" w:tplc="AE08E184" w:tentative="1">
      <w:start w:val="1"/>
      <w:numFmt w:val="bullet"/>
      <w:lvlText w:val=""/>
      <w:lvlJc w:val="left"/>
      <w:pPr>
        <w:tabs>
          <w:tab w:val="num" w:pos="5760"/>
        </w:tabs>
        <w:ind w:left="5760" w:hanging="360"/>
      </w:pPr>
      <w:rPr>
        <w:rFonts w:ascii="Wingdings 2" w:hAnsi="Wingdings 2" w:hint="default"/>
      </w:rPr>
    </w:lvl>
    <w:lvl w:ilvl="8" w:tplc="27E01A1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DA91BBB"/>
    <w:multiLevelType w:val="hybridMultilevel"/>
    <w:tmpl w:val="289C69F8"/>
    <w:lvl w:ilvl="0" w:tplc="B48285FC">
      <w:start w:val="1"/>
      <w:numFmt w:val="bullet"/>
      <w:lvlText w:val=""/>
      <w:lvlJc w:val="left"/>
      <w:pPr>
        <w:tabs>
          <w:tab w:val="num" w:pos="720"/>
        </w:tabs>
        <w:ind w:left="720" w:hanging="360"/>
      </w:pPr>
      <w:rPr>
        <w:rFonts w:ascii="Wingdings 2" w:hAnsi="Wingdings 2" w:hint="default"/>
      </w:rPr>
    </w:lvl>
    <w:lvl w:ilvl="1" w:tplc="A6C68192" w:tentative="1">
      <w:start w:val="1"/>
      <w:numFmt w:val="bullet"/>
      <w:lvlText w:val=""/>
      <w:lvlJc w:val="left"/>
      <w:pPr>
        <w:tabs>
          <w:tab w:val="num" w:pos="1440"/>
        </w:tabs>
        <w:ind w:left="1440" w:hanging="360"/>
      </w:pPr>
      <w:rPr>
        <w:rFonts w:ascii="Wingdings 2" w:hAnsi="Wingdings 2" w:hint="default"/>
      </w:rPr>
    </w:lvl>
    <w:lvl w:ilvl="2" w:tplc="5B125468" w:tentative="1">
      <w:start w:val="1"/>
      <w:numFmt w:val="bullet"/>
      <w:lvlText w:val=""/>
      <w:lvlJc w:val="left"/>
      <w:pPr>
        <w:tabs>
          <w:tab w:val="num" w:pos="2160"/>
        </w:tabs>
        <w:ind w:left="2160" w:hanging="360"/>
      </w:pPr>
      <w:rPr>
        <w:rFonts w:ascii="Wingdings 2" w:hAnsi="Wingdings 2" w:hint="default"/>
      </w:rPr>
    </w:lvl>
    <w:lvl w:ilvl="3" w:tplc="8C5041CC" w:tentative="1">
      <w:start w:val="1"/>
      <w:numFmt w:val="bullet"/>
      <w:lvlText w:val=""/>
      <w:lvlJc w:val="left"/>
      <w:pPr>
        <w:tabs>
          <w:tab w:val="num" w:pos="2880"/>
        </w:tabs>
        <w:ind w:left="2880" w:hanging="360"/>
      </w:pPr>
      <w:rPr>
        <w:rFonts w:ascii="Wingdings 2" w:hAnsi="Wingdings 2" w:hint="default"/>
      </w:rPr>
    </w:lvl>
    <w:lvl w:ilvl="4" w:tplc="AA400320" w:tentative="1">
      <w:start w:val="1"/>
      <w:numFmt w:val="bullet"/>
      <w:lvlText w:val=""/>
      <w:lvlJc w:val="left"/>
      <w:pPr>
        <w:tabs>
          <w:tab w:val="num" w:pos="3600"/>
        </w:tabs>
        <w:ind w:left="3600" w:hanging="360"/>
      </w:pPr>
      <w:rPr>
        <w:rFonts w:ascii="Wingdings 2" w:hAnsi="Wingdings 2" w:hint="default"/>
      </w:rPr>
    </w:lvl>
    <w:lvl w:ilvl="5" w:tplc="234EAEB8" w:tentative="1">
      <w:start w:val="1"/>
      <w:numFmt w:val="bullet"/>
      <w:lvlText w:val=""/>
      <w:lvlJc w:val="left"/>
      <w:pPr>
        <w:tabs>
          <w:tab w:val="num" w:pos="4320"/>
        </w:tabs>
        <w:ind w:left="4320" w:hanging="360"/>
      </w:pPr>
      <w:rPr>
        <w:rFonts w:ascii="Wingdings 2" w:hAnsi="Wingdings 2" w:hint="default"/>
      </w:rPr>
    </w:lvl>
    <w:lvl w:ilvl="6" w:tplc="36ACCAB8" w:tentative="1">
      <w:start w:val="1"/>
      <w:numFmt w:val="bullet"/>
      <w:lvlText w:val=""/>
      <w:lvlJc w:val="left"/>
      <w:pPr>
        <w:tabs>
          <w:tab w:val="num" w:pos="5040"/>
        </w:tabs>
        <w:ind w:left="5040" w:hanging="360"/>
      </w:pPr>
      <w:rPr>
        <w:rFonts w:ascii="Wingdings 2" w:hAnsi="Wingdings 2" w:hint="default"/>
      </w:rPr>
    </w:lvl>
    <w:lvl w:ilvl="7" w:tplc="A33CD830" w:tentative="1">
      <w:start w:val="1"/>
      <w:numFmt w:val="bullet"/>
      <w:lvlText w:val=""/>
      <w:lvlJc w:val="left"/>
      <w:pPr>
        <w:tabs>
          <w:tab w:val="num" w:pos="5760"/>
        </w:tabs>
        <w:ind w:left="5760" w:hanging="360"/>
      </w:pPr>
      <w:rPr>
        <w:rFonts w:ascii="Wingdings 2" w:hAnsi="Wingdings 2" w:hint="default"/>
      </w:rPr>
    </w:lvl>
    <w:lvl w:ilvl="8" w:tplc="52F29F8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FF"/>
    <w:rsid w:val="000D52FF"/>
    <w:rsid w:val="001023F6"/>
    <w:rsid w:val="001C2A13"/>
    <w:rsid w:val="00393F40"/>
    <w:rsid w:val="003E4B12"/>
    <w:rsid w:val="005376B6"/>
    <w:rsid w:val="00543F11"/>
    <w:rsid w:val="007D56CD"/>
    <w:rsid w:val="0099789C"/>
    <w:rsid w:val="00C00762"/>
    <w:rsid w:val="00E4164D"/>
    <w:rsid w:val="00E50DC0"/>
    <w:rsid w:val="00F409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73934-6565-4B5D-92F1-15843E6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FF"/>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52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889">
      <w:bodyDiv w:val="1"/>
      <w:marLeft w:val="0"/>
      <w:marRight w:val="0"/>
      <w:marTop w:val="0"/>
      <w:marBottom w:val="0"/>
      <w:divBdr>
        <w:top w:val="none" w:sz="0" w:space="0" w:color="auto"/>
        <w:left w:val="none" w:sz="0" w:space="0" w:color="auto"/>
        <w:bottom w:val="none" w:sz="0" w:space="0" w:color="auto"/>
        <w:right w:val="none" w:sz="0" w:space="0" w:color="auto"/>
      </w:divBdr>
      <w:divsChild>
        <w:div w:id="1409111306">
          <w:marLeft w:val="475"/>
          <w:marRight w:val="0"/>
          <w:marTop w:val="58"/>
          <w:marBottom w:val="120"/>
          <w:divBdr>
            <w:top w:val="none" w:sz="0" w:space="0" w:color="auto"/>
            <w:left w:val="none" w:sz="0" w:space="0" w:color="auto"/>
            <w:bottom w:val="none" w:sz="0" w:space="0" w:color="auto"/>
            <w:right w:val="none" w:sz="0" w:space="0" w:color="auto"/>
          </w:divBdr>
        </w:div>
      </w:divsChild>
    </w:div>
    <w:div w:id="1249847364">
      <w:bodyDiv w:val="1"/>
      <w:marLeft w:val="0"/>
      <w:marRight w:val="0"/>
      <w:marTop w:val="0"/>
      <w:marBottom w:val="0"/>
      <w:divBdr>
        <w:top w:val="none" w:sz="0" w:space="0" w:color="auto"/>
        <w:left w:val="none" w:sz="0" w:space="0" w:color="auto"/>
        <w:bottom w:val="none" w:sz="0" w:space="0" w:color="auto"/>
        <w:right w:val="none" w:sz="0" w:space="0" w:color="auto"/>
      </w:divBdr>
      <w:divsChild>
        <w:div w:id="1312908420">
          <w:marLeft w:val="475"/>
          <w:marRight w:val="0"/>
          <w:marTop w:val="58"/>
          <w:marBottom w:val="120"/>
          <w:divBdr>
            <w:top w:val="none" w:sz="0" w:space="0" w:color="auto"/>
            <w:left w:val="none" w:sz="0" w:space="0" w:color="auto"/>
            <w:bottom w:val="none" w:sz="0" w:space="0" w:color="auto"/>
            <w:right w:val="none" w:sz="0" w:space="0" w:color="auto"/>
          </w:divBdr>
        </w:div>
      </w:divsChild>
    </w:div>
    <w:div w:id="1422219290">
      <w:bodyDiv w:val="1"/>
      <w:marLeft w:val="0"/>
      <w:marRight w:val="0"/>
      <w:marTop w:val="0"/>
      <w:marBottom w:val="0"/>
      <w:divBdr>
        <w:top w:val="none" w:sz="0" w:space="0" w:color="auto"/>
        <w:left w:val="none" w:sz="0" w:space="0" w:color="auto"/>
        <w:bottom w:val="none" w:sz="0" w:space="0" w:color="auto"/>
        <w:right w:val="none" w:sz="0" w:space="0" w:color="auto"/>
      </w:divBdr>
      <w:divsChild>
        <w:div w:id="56439226">
          <w:marLeft w:val="475"/>
          <w:marRight w:val="0"/>
          <w:marTop w:val="58"/>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1C3D-E519-4967-B224-A4600E56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2017-11-02T17:44:00Z</dcterms:created>
  <dcterms:modified xsi:type="dcterms:W3CDTF">2017-11-02T19:02:00Z</dcterms:modified>
</cp:coreProperties>
</file>